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588"/>
      </w:tblGrid>
      <w:tr w:rsidR="004E2F63" w:rsidRPr="009D1DC1" w14:paraId="2F0A0818" w14:textId="77777777">
        <w:trPr>
          <w:cantSplit/>
        </w:trPr>
        <w:tc>
          <w:tcPr>
            <w:tcW w:w="2160" w:type="dxa"/>
          </w:tcPr>
          <w:bookmarkStart w:id="0" w:name="_GoBack"/>
          <w:bookmarkEnd w:id="0"/>
          <w:p w14:paraId="2F0A0814" w14:textId="321607CF" w:rsidR="004E2F63" w:rsidRPr="009D1DC1" w:rsidRDefault="000E695C">
            <w:pPr>
              <w:spacing w:before="240"/>
              <w:rPr>
                <w:b/>
                <w:sz w:val="24"/>
              </w:rPr>
            </w:pPr>
            <w:r w:rsidRPr="009D1DC1">
              <w:rPr>
                <w:b/>
              </w:rPr>
              <w:object w:dxaOrig="3750" w:dyaOrig="3750" w14:anchorId="2F0A08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5pt;height:97.15pt" o:ole="">
                  <v:imagedata r:id="rId7" o:title=""/>
                </v:shape>
                <o:OLEObject Type="Embed" ProgID="PBrush" ShapeID="_x0000_i1025" DrawAspect="Content" ObjectID="_1593000191" r:id="rId8"/>
              </w:object>
            </w:r>
          </w:p>
        </w:tc>
        <w:tc>
          <w:tcPr>
            <w:tcW w:w="6588" w:type="dxa"/>
          </w:tcPr>
          <w:p w14:paraId="2F0A0815" w14:textId="77777777" w:rsidR="004E2F63" w:rsidRPr="009D1DC1" w:rsidRDefault="004E2F63">
            <w:pPr>
              <w:ind w:left="-360" w:right="-384"/>
              <w:jc w:val="center"/>
              <w:rPr>
                <w:rFonts w:ascii="Lydian Csv BT" w:hAnsi="Lydian Csv BT"/>
                <w:b/>
                <w:i/>
                <w:sz w:val="80"/>
              </w:rPr>
            </w:pPr>
            <w:r w:rsidRPr="009D1DC1">
              <w:rPr>
                <w:b/>
                <w:i/>
                <w:spacing w:val="-35"/>
                <w:sz w:val="72"/>
              </w:rPr>
              <w:t>Denver County Court</w:t>
            </w:r>
          </w:p>
          <w:p w14:paraId="2F0A0816" w14:textId="77777777" w:rsidR="004E2F63" w:rsidRPr="009D1DC1" w:rsidRDefault="009D1DC1">
            <w:pPr>
              <w:spacing w:before="240"/>
              <w:jc w:val="center"/>
              <w:rPr>
                <w:b/>
                <w:sz w:val="24"/>
              </w:rPr>
            </w:pPr>
            <w:r w:rsidRPr="009D1DC1">
              <w:rPr>
                <w:b/>
                <w:sz w:val="24"/>
              </w:rPr>
              <w:t>City and County Building</w:t>
            </w:r>
            <w:r w:rsidR="004E2F63" w:rsidRPr="009D1DC1">
              <w:rPr>
                <w:b/>
                <w:sz w:val="24"/>
              </w:rPr>
              <w:br/>
            </w:r>
            <w:r w:rsidR="001E6FED" w:rsidRPr="009D1DC1">
              <w:rPr>
                <w:b/>
                <w:sz w:val="24"/>
              </w:rPr>
              <w:t xml:space="preserve">1437 Bannock St., </w:t>
            </w:r>
            <w:r w:rsidR="00B64098" w:rsidRPr="009D1DC1">
              <w:rPr>
                <w:b/>
                <w:sz w:val="24"/>
              </w:rPr>
              <w:t>#108</w:t>
            </w:r>
            <w:r w:rsidR="004E2F63" w:rsidRPr="009D1DC1">
              <w:rPr>
                <w:b/>
                <w:color w:val="FF0000"/>
                <w:sz w:val="24"/>
              </w:rPr>
              <w:br/>
            </w:r>
            <w:r w:rsidR="004E2F63" w:rsidRPr="009D1DC1">
              <w:rPr>
                <w:b/>
                <w:sz w:val="24"/>
              </w:rPr>
              <w:t>Denver, CO  80202</w:t>
            </w:r>
          </w:p>
          <w:p w14:paraId="2F0A0817" w14:textId="77777777" w:rsidR="00073023" w:rsidRPr="009D1DC1" w:rsidRDefault="00073023" w:rsidP="00342E20">
            <w:pPr>
              <w:spacing w:before="240"/>
              <w:jc w:val="center"/>
              <w:rPr>
                <w:b/>
                <w:color w:val="FF0000"/>
                <w:sz w:val="24"/>
              </w:rPr>
            </w:pPr>
          </w:p>
        </w:tc>
      </w:tr>
    </w:tbl>
    <w:p w14:paraId="2F0A0819" w14:textId="668195A8" w:rsidR="00073023" w:rsidRPr="00023488" w:rsidRDefault="009D1DC1">
      <w:pPr>
        <w:rPr>
          <w:b/>
          <w:sz w:val="24"/>
        </w:rPr>
      </w:pPr>
      <w:r w:rsidRPr="009D1DC1">
        <w:rPr>
          <w:b/>
          <w:sz w:val="24"/>
        </w:rPr>
        <w:t>Hon.</w:t>
      </w:r>
      <w:r>
        <w:rPr>
          <w:sz w:val="24"/>
        </w:rPr>
        <w:t xml:space="preserve"> </w:t>
      </w:r>
      <w:r w:rsidR="00474E61">
        <w:rPr>
          <w:b/>
          <w:sz w:val="24"/>
        </w:rPr>
        <w:t>Theresa A. Spahn</w:t>
      </w:r>
    </w:p>
    <w:p w14:paraId="2F0A081A" w14:textId="70DC2A75" w:rsidR="009024A0" w:rsidRPr="00023488" w:rsidRDefault="00B64098">
      <w:pPr>
        <w:rPr>
          <w:b/>
          <w:sz w:val="24"/>
        </w:rPr>
      </w:pPr>
      <w:r>
        <w:rPr>
          <w:b/>
          <w:sz w:val="24"/>
        </w:rPr>
        <w:t xml:space="preserve">  </w:t>
      </w:r>
      <w:r w:rsidR="00474E61">
        <w:rPr>
          <w:b/>
          <w:sz w:val="24"/>
        </w:rPr>
        <w:t xml:space="preserve"> </w:t>
      </w:r>
      <w:r>
        <w:rPr>
          <w:b/>
          <w:sz w:val="24"/>
        </w:rPr>
        <w:t xml:space="preserve">  Presiding Judge</w:t>
      </w:r>
    </w:p>
    <w:p w14:paraId="2F0A081B" w14:textId="77777777" w:rsidR="00652CA5" w:rsidRDefault="00652CA5">
      <w:pPr>
        <w:rPr>
          <w:sz w:val="24"/>
        </w:rPr>
      </w:pPr>
    </w:p>
    <w:p w14:paraId="2F0A081C" w14:textId="77777777" w:rsidR="00EE506B" w:rsidRDefault="008245EA" w:rsidP="008245EA">
      <w:pPr>
        <w:jc w:val="center"/>
        <w:rPr>
          <w:b/>
          <w:sz w:val="36"/>
          <w:szCs w:val="36"/>
        </w:rPr>
      </w:pPr>
      <w:r w:rsidRPr="008245EA">
        <w:rPr>
          <w:b/>
          <w:sz w:val="36"/>
          <w:szCs w:val="36"/>
        </w:rPr>
        <w:t>EXECUTIVE ORDER</w:t>
      </w:r>
    </w:p>
    <w:p w14:paraId="2F0A081D" w14:textId="77777777" w:rsidR="008245EA" w:rsidRPr="00C01F63" w:rsidRDefault="008245EA" w:rsidP="008245EA">
      <w:pPr>
        <w:jc w:val="center"/>
        <w:rPr>
          <w:b/>
          <w:sz w:val="16"/>
          <w:szCs w:val="16"/>
        </w:rPr>
      </w:pPr>
    </w:p>
    <w:p w14:paraId="05100F73" w14:textId="77777777" w:rsidR="00BB6EC9" w:rsidRDefault="00BB6EC9" w:rsidP="008245EA">
      <w:pPr>
        <w:pBdr>
          <w:bottom w:val="dotted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Authority to Administratively Dismiss Cases Filed </w:t>
      </w:r>
    </w:p>
    <w:p w14:paraId="2F0A081E" w14:textId="7508B261" w:rsidR="008245EA" w:rsidRDefault="00BB6EC9" w:rsidP="008245EA">
      <w:pPr>
        <w:pBdr>
          <w:bottom w:val="dotted" w:sz="2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Where Case Filed Has Impossible Date for Court Appearance</w:t>
      </w:r>
    </w:p>
    <w:p w14:paraId="69B028F3" w14:textId="77777777" w:rsidR="001261CF" w:rsidRPr="00AA3A76" w:rsidRDefault="001261CF" w:rsidP="008245EA">
      <w:pPr>
        <w:pBdr>
          <w:bottom w:val="dotted" w:sz="24" w:space="1" w:color="auto"/>
        </w:pBdr>
        <w:jc w:val="center"/>
        <w:rPr>
          <w:b/>
          <w:sz w:val="24"/>
          <w:szCs w:val="24"/>
        </w:rPr>
      </w:pPr>
    </w:p>
    <w:p w14:paraId="2F0A081F" w14:textId="77777777" w:rsidR="008245EA" w:rsidRPr="00C01F63" w:rsidRDefault="008245EA" w:rsidP="008245EA">
      <w:pPr>
        <w:pBdr>
          <w:bottom w:val="dotted" w:sz="24" w:space="1" w:color="auto"/>
        </w:pBdr>
        <w:jc w:val="center"/>
        <w:rPr>
          <w:b/>
          <w:sz w:val="10"/>
          <w:szCs w:val="10"/>
        </w:rPr>
      </w:pPr>
    </w:p>
    <w:p w14:paraId="2F0A0820" w14:textId="77777777" w:rsidR="008245EA" w:rsidRPr="00C01F63" w:rsidRDefault="008245EA" w:rsidP="008245EA">
      <w:pPr>
        <w:jc w:val="center"/>
        <w:rPr>
          <w:b/>
          <w:sz w:val="10"/>
          <w:szCs w:val="10"/>
        </w:rPr>
      </w:pPr>
    </w:p>
    <w:p w14:paraId="2F0A0822" w14:textId="2180AAB2" w:rsidR="00F20AB2" w:rsidRDefault="001A6DF1" w:rsidP="001A6DF1">
      <w:pPr>
        <w:tabs>
          <w:tab w:val="left" w:pos="70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255251" w14:textId="77777777" w:rsidR="00A159C5" w:rsidRDefault="00A159C5" w:rsidP="009045FF">
      <w:pPr>
        <w:jc w:val="both"/>
        <w:rPr>
          <w:sz w:val="24"/>
          <w:szCs w:val="24"/>
        </w:rPr>
      </w:pPr>
    </w:p>
    <w:p w14:paraId="022708C8" w14:textId="1BDFF8B4" w:rsidR="001E60FC" w:rsidRDefault="00BB6EC9" w:rsidP="009045FF">
      <w:pPr>
        <w:jc w:val="both"/>
        <w:rPr>
          <w:sz w:val="24"/>
          <w:szCs w:val="24"/>
        </w:rPr>
      </w:pPr>
      <w:r>
        <w:rPr>
          <w:sz w:val="24"/>
          <w:szCs w:val="24"/>
        </w:rPr>
        <w:t>Recognizing that human error</w:t>
      </w:r>
      <w:r w:rsidR="001261C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159C5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occasionally occur with the issuance of </w:t>
      </w:r>
      <w:r w:rsidR="002645E3">
        <w:rPr>
          <w:sz w:val="24"/>
          <w:szCs w:val="24"/>
        </w:rPr>
        <w:t xml:space="preserve">a </w:t>
      </w:r>
      <w:r>
        <w:rPr>
          <w:sz w:val="24"/>
          <w:szCs w:val="24"/>
        </w:rPr>
        <w:t>summons and complaint and / or penalty assessment notice when written by officers or other authorized persons or entities</w:t>
      </w:r>
      <w:r w:rsidR="002645E3">
        <w:rPr>
          <w:sz w:val="24"/>
          <w:szCs w:val="24"/>
        </w:rPr>
        <w:t xml:space="preserve"> and subsequently filed within the Denver County Court</w:t>
      </w:r>
      <w:r w:rsidR="001261CF">
        <w:rPr>
          <w:sz w:val="24"/>
          <w:szCs w:val="24"/>
        </w:rPr>
        <w:t xml:space="preserve"> for Traffic, Criminal, General Sessions and</w:t>
      </w:r>
      <w:r w:rsidR="00E1467E">
        <w:rPr>
          <w:sz w:val="24"/>
          <w:szCs w:val="24"/>
        </w:rPr>
        <w:t xml:space="preserve"> / or General Violations</w:t>
      </w:r>
      <w:r w:rsidR="00A159C5">
        <w:rPr>
          <w:sz w:val="24"/>
          <w:szCs w:val="24"/>
        </w:rPr>
        <w:t xml:space="preserve"> matters;</w:t>
      </w:r>
      <w:r w:rsidR="00E1467E">
        <w:rPr>
          <w:sz w:val="24"/>
          <w:szCs w:val="24"/>
        </w:rPr>
        <w:t xml:space="preserve"> and also recognizing that both statute and ordina</w:t>
      </w:r>
      <w:r w:rsidR="00D83F30">
        <w:rPr>
          <w:sz w:val="24"/>
          <w:szCs w:val="24"/>
        </w:rPr>
        <w:t>n</w:t>
      </w:r>
      <w:r w:rsidR="00E1467E">
        <w:rPr>
          <w:sz w:val="24"/>
          <w:szCs w:val="24"/>
        </w:rPr>
        <w:t xml:space="preserve">ce have certain and specific legal requirements with respect to valid dates; and where these errors are on cases </w:t>
      </w:r>
      <w:r w:rsidR="002645E3">
        <w:rPr>
          <w:sz w:val="24"/>
          <w:szCs w:val="24"/>
        </w:rPr>
        <w:t xml:space="preserve">where such </w:t>
      </w:r>
      <w:r w:rsidR="001261CF">
        <w:rPr>
          <w:sz w:val="24"/>
          <w:szCs w:val="24"/>
        </w:rPr>
        <w:t>filing</w:t>
      </w:r>
      <w:r w:rsidR="00E1467E">
        <w:rPr>
          <w:sz w:val="24"/>
          <w:szCs w:val="24"/>
        </w:rPr>
        <w:t>s</w:t>
      </w:r>
      <w:r w:rsidR="001261CF">
        <w:rPr>
          <w:sz w:val="24"/>
          <w:szCs w:val="24"/>
        </w:rPr>
        <w:t xml:space="preserve"> include an impossible date for a</w:t>
      </w:r>
      <w:r w:rsidR="00E1467E">
        <w:rPr>
          <w:sz w:val="24"/>
          <w:szCs w:val="24"/>
        </w:rPr>
        <w:t xml:space="preserve">n arraignment / first appearance date; </w:t>
      </w:r>
      <w:r w:rsidR="001261CF">
        <w:rPr>
          <w:sz w:val="24"/>
          <w:szCs w:val="24"/>
        </w:rPr>
        <w:t xml:space="preserve">this </w:t>
      </w:r>
      <w:r w:rsidR="00E1467E">
        <w:rPr>
          <w:sz w:val="24"/>
          <w:szCs w:val="24"/>
        </w:rPr>
        <w:t>E</w:t>
      </w:r>
      <w:r w:rsidR="001261CF">
        <w:rPr>
          <w:sz w:val="24"/>
          <w:szCs w:val="24"/>
        </w:rPr>
        <w:t xml:space="preserve">xecutive </w:t>
      </w:r>
      <w:r w:rsidR="00E1467E">
        <w:rPr>
          <w:sz w:val="24"/>
          <w:szCs w:val="24"/>
        </w:rPr>
        <w:t>O</w:t>
      </w:r>
      <w:r w:rsidR="001261CF">
        <w:rPr>
          <w:sz w:val="24"/>
          <w:szCs w:val="24"/>
        </w:rPr>
        <w:t xml:space="preserve">rder authorizes </w:t>
      </w:r>
      <w:r w:rsidR="00E1467E">
        <w:rPr>
          <w:sz w:val="24"/>
          <w:szCs w:val="24"/>
        </w:rPr>
        <w:t xml:space="preserve">and empowers any </w:t>
      </w:r>
      <w:r w:rsidR="001261CF">
        <w:rPr>
          <w:sz w:val="24"/>
          <w:szCs w:val="24"/>
        </w:rPr>
        <w:t xml:space="preserve">Deputy Clerk of the Denver County Court to enter </w:t>
      </w:r>
      <w:r w:rsidR="00A159C5">
        <w:rPr>
          <w:sz w:val="24"/>
          <w:szCs w:val="24"/>
        </w:rPr>
        <w:t>such</w:t>
      </w:r>
      <w:r w:rsidR="001261CF">
        <w:rPr>
          <w:sz w:val="24"/>
          <w:szCs w:val="24"/>
        </w:rPr>
        <w:t xml:space="preserve"> cases into the Court’s case management database and immediately and administratively dismiss</w:t>
      </w:r>
      <w:r w:rsidR="00A159C5">
        <w:rPr>
          <w:sz w:val="24"/>
          <w:szCs w:val="24"/>
        </w:rPr>
        <w:t xml:space="preserve"> the case(s) </w:t>
      </w:r>
      <w:r w:rsidR="00A159C5" w:rsidRPr="00A159C5">
        <w:rPr>
          <w:b/>
          <w:sz w:val="24"/>
          <w:szCs w:val="24"/>
        </w:rPr>
        <w:t>without prejudice</w:t>
      </w:r>
      <w:r w:rsidR="00A159C5">
        <w:rPr>
          <w:sz w:val="24"/>
          <w:szCs w:val="24"/>
        </w:rPr>
        <w:t>,</w:t>
      </w:r>
      <w:r w:rsidR="001261CF">
        <w:rPr>
          <w:sz w:val="24"/>
          <w:szCs w:val="24"/>
        </w:rPr>
        <w:t xml:space="preserve"> and </w:t>
      </w:r>
      <w:r w:rsidR="00A159C5">
        <w:rPr>
          <w:sz w:val="24"/>
          <w:szCs w:val="24"/>
        </w:rPr>
        <w:t xml:space="preserve">to </w:t>
      </w:r>
      <w:r w:rsidR="001261CF">
        <w:rPr>
          <w:sz w:val="24"/>
          <w:szCs w:val="24"/>
        </w:rPr>
        <w:t xml:space="preserve">close </w:t>
      </w:r>
      <w:r w:rsidR="00A159C5">
        <w:rPr>
          <w:sz w:val="24"/>
          <w:szCs w:val="24"/>
        </w:rPr>
        <w:t>the</w:t>
      </w:r>
      <w:r w:rsidR="001261CF">
        <w:rPr>
          <w:sz w:val="24"/>
          <w:szCs w:val="24"/>
        </w:rPr>
        <w:t xml:space="preserve"> case</w:t>
      </w:r>
      <w:r w:rsidR="00A159C5">
        <w:rPr>
          <w:sz w:val="24"/>
          <w:szCs w:val="24"/>
        </w:rPr>
        <w:t>(</w:t>
      </w:r>
      <w:r w:rsidR="001261CF">
        <w:rPr>
          <w:sz w:val="24"/>
          <w:szCs w:val="24"/>
        </w:rPr>
        <w:t>s</w:t>
      </w:r>
      <w:r w:rsidR="00A159C5">
        <w:rPr>
          <w:sz w:val="24"/>
          <w:szCs w:val="24"/>
        </w:rPr>
        <w:t>)</w:t>
      </w:r>
      <w:r w:rsidR="001261CF">
        <w:rPr>
          <w:sz w:val="24"/>
          <w:szCs w:val="24"/>
        </w:rPr>
        <w:t xml:space="preserve"> in their entirety</w:t>
      </w:r>
      <w:r w:rsidR="008637FF">
        <w:rPr>
          <w:sz w:val="24"/>
          <w:szCs w:val="24"/>
        </w:rPr>
        <w:t xml:space="preserve">.  </w:t>
      </w:r>
    </w:p>
    <w:p w14:paraId="49FADEC4" w14:textId="3EF1D8EF" w:rsidR="001E60FC" w:rsidRDefault="001E60FC" w:rsidP="009045FF">
      <w:pPr>
        <w:jc w:val="both"/>
        <w:rPr>
          <w:sz w:val="24"/>
          <w:szCs w:val="24"/>
        </w:rPr>
      </w:pPr>
    </w:p>
    <w:p w14:paraId="5F1C256F" w14:textId="77777777" w:rsidR="00A159C5" w:rsidRDefault="00A159C5" w:rsidP="009045FF">
      <w:pPr>
        <w:jc w:val="both"/>
        <w:rPr>
          <w:sz w:val="24"/>
          <w:szCs w:val="24"/>
        </w:rPr>
      </w:pPr>
    </w:p>
    <w:p w14:paraId="4D665438" w14:textId="592F41D2" w:rsidR="001261CF" w:rsidRDefault="001E60FC" w:rsidP="00904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order </w:t>
      </w:r>
      <w:r w:rsidR="008637FF">
        <w:rPr>
          <w:sz w:val="24"/>
          <w:szCs w:val="24"/>
        </w:rPr>
        <w:t xml:space="preserve">is </w:t>
      </w:r>
      <w:r w:rsidR="001261CF">
        <w:rPr>
          <w:sz w:val="24"/>
          <w:szCs w:val="24"/>
        </w:rPr>
        <w:t xml:space="preserve">subject to the </w:t>
      </w:r>
      <w:r w:rsidR="008637FF">
        <w:rPr>
          <w:sz w:val="24"/>
          <w:szCs w:val="24"/>
        </w:rPr>
        <w:t xml:space="preserve">strict adhesion to the following </w:t>
      </w:r>
      <w:r w:rsidR="001261CF">
        <w:rPr>
          <w:sz w:val="24"/>
          <w:szCs w:val="24"/>
        </w:rPr>
        <w:t xml:space="preserve">rules </w:t>
      </w:r>
      <w:r w:rsidR="008637FF">
        <w:rPr>
          <w:sz w:val="24"/>
          <w:szCs w:val="24"/>
        </w:rPr>
        <w:t>designating</w:t>
      </w:r>
      <w:r w:rsidR="00A159C5">
        <w:rPr>
          <w:sz w:val="24"/>
          <w:szCs w:val="24"/>
        </w:rPr>
        <w:t xml:space="preserve"> an</w:t>
      </w:r>
      <w:r w:rsidR="008637FF">
        <w:rPr>
          <w:sz w:val="24"/>
          <w:szCs w:val="24"/>
        </w:rPr>
        <w:t xml:space="preserve"> </w:t>
      </w:r>
      <w:r w:rsidR="001261CF">
        <w:rPr>
          <w:sz w:val="24"/>
          <w:szCs w:val="24"/>
        </w:rPr>
        <w:t>impossible court dates:</w:t>
      </w:r>
    </w:p>
    <w:p w14:paraId="59A37820" w14:textId="77777777" w:rsidR="00A159C5" w:rsidRDefault="00A159C5" w:rsidP="009045FF">
      <w:pPr>
        <w:jc w:val="both"/>
        <w:rPr>
          <w:sz w:val="24"/>
          <w:szCs w:val="24"/>
        </w:rPr>
      </w:pPr>
    </w:p>
    <w:p w14:paraId="268EACDF" w14:textId="7F6C0923" w:rsidR="0057608E" w:rsidRDefault="0057608E" w:rsidP="009045FF">
      <w:pPr>
        <w:jc w:val="both"/>
        <w:rPr>
          <w:b/>
          <w:sz w:val="24"/>
          <w:szCs w:val="24"/>
          <w:u w:val="single"/>
        </w:rPr>
      </w:pPr>
      <w:r w:rsidRPr="0057608E">
        <w:rPr>
          <w:b/>
          <w:sz w:val="24"/>
          <w:szCs w:val="24"/>
          <w:u w:val="single"/>
        </w:rPr>
        <w:t>Part I</w:t>
      </w:r>
      <w:r w:rsidR="00A159C5">
        <w:rPr>
          <w:b/>
          <w:sz w:val="24"/>
          <w:szCs w:val="24"/>
          <w:u w:val="single"/>
        </w:rPr>
        <w:t xml:space="preserve"> – Application:</w:t>
      </w:r>
    </w:p>
    <w:p w14:paraId="3D1EB048" w14:textId="466B5ADE" w:rsidR="00A159C5" w:rsidRPr="00A159C5" w:rsidRDefault="00A159C5" w:rsidP="009045F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A159C5">
        <w:rPr>
          <w:sz w:val="24"/>
          <w:szCs w:val="24"/>
        </w:rPr>
        <w:t xml:space="preserve">This order is specific to </w:t>
      </w:r>
      <w:r w:rsidRPr="00A159C5">
        <w:rPr>
          <w:b/>
          <w:sz w:val="24"/>
          <w:szCs w:val="24"/>
        </w:rPr>
        <w:t>only</w:t>
      </w:r>
      <w:r w:rsidRPr="00A159C5">
        <w:rPr>
          <w:sz w:val="24"/>
          <w:szCs w:val="24"/>
        </w:rPr>
        <w:t xml:space="preserve"> arraignment / first appearance</w:t>
      </w:r>
      <w:r>
        <w:rPr>
          <w:sz w:val="24"/>
          <w:szCs w:val="24"/>
        </w:rPr>
        <w:t xml:space="preserve"> Court dates;</w:t>
      </w:r>
    </w:p>
    <w:p w14:paraId="52DB4214" w14:textId="40AC7FB2" w:rsidR="00A159C5" w:rsidRPr="00A159C5" w:rsidRDefault="00A159C5" w:rsidP="009045F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This order excludes Civil cases; </w:t>
      </w:r>
    </w:p>
    <w:p w14:paraId="73213475" w14:textId="0D5F0755" w:rsidR="00A159C5" w:rsidRPr="00B0111E" w:rsidRDefault="00A159C5" w:rsidP="009045F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This order excludes Parking matters</w:t>
      </w:r>
      <w:r w:rsidR="00B0111E">
        <w:rPr>
          <w:sz w:val="24"/>
          <w:szCs w:val="24"/>
        </w:rPr>
        <w:t>;</w:t>
      </w:r>
    </w:p>
    <w:p w14:paraId="11A8EEC5" w14:textId="21442E79" w:rsidR="00B0111E" w:rsidRPr="00A159C5" w:rsidRDefault="00B0111E" w:rsidP="009045F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This order is effective as of:  </w:t>
      </w:r>
      <w:r w:rsidR="00DF4674">
        <w:rPr>
          <w:sz w:val="24"/>
          <w:szCs w:val="24"/>
        </w:rPr>
        <w:t>July 1</w:t>
      </w:r>
      <w:r w:rsidR="00DF4674" w:rsidRPr="00DF4674">
        <w:rPr>
          <w:sz w:val="24"/>
          <w:szCs w:val="24"/>
          <w:vertAlign w:val="superscript"/>
        </w:rPr>
        <w:t>st</w:t>
      </w:r>
      <w:r w:rsidR="00DF4674">
        <w:rPr>
          <w:sz w:val="24"/>
          <w:szCs w:val="24"/>
        </w:rPr>
        <w:t xml:space="preserve">, </w:t>
      </w:r>
      <w:r>
        <w:rPr>
          <w:sz w:val="24"/>
          <w:szCs w:val="24"/>
        </w:rPr>
        <w:t>2018</w:t>
      </w:r>
    </w:p>
    <w:p w14:paraId="38BB5A98" w14:textId="42533FB3" w:rsidR="00A159C5" w:rsidRDefault="00A159C5" w:rsidP="009045FF">
      <w:pPr>
        <w:jc w:val="both"/>
        <w:rPr>
          <w:b/>
          <w:sz w:val="24"/>
          <w:szCs w:val="24"/>
          <w:u w:val="single"/>
        </w:rPr>
      </w:pPr>
    </w:p>
    <w:p w14:paraId="5006A4A5" w14:textId="1A5FCD08" w:rsidR="00A159C5" w:rsidRDefault="00A159C5" w:rsidP="009045F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II – Specificity:</w:t>
      </w:r>
    </w:p>
    <w:p w14:paraId="6DCC6337" w14:textId="44B24496" w:rsidR="008637FF" w:rsidRPr="008637FF" w:rsidRDefault="008637FF" w:rsidP="009045FF">
      <w:pPr>
        <w:jc w:val="both"/>
        <w:rPr>
          <w:sz w:val="24"/>
          <w:szCs w:val="24"/>
        </w:rPr>
      </w:pPr>
      <w:r w:rsidRPr="008637FF">
        <w:rPr>
          <w:sz w:val="24"/>
          <w:szCs w:val="24"/>
        </w:rPr>
        <w:t>For</w:t>
      </w:r>
      <w:r w:rsidR="00F82068">
        <w:rPr>
          <w:sz w:val="24"/>
          <w:szCs w:val="24"/>
        </w:rPr>
        <w:t xml:space="preserve"> an</w:t>
      </w:r>
      <w:r w:rsidRPr="008637FF">
        <w:rPr>
          <w:sz w:val="24"/>
          <w:szCs w:val="24"/>
        </w:rPr>
        <w:t xml:space="preserve"> arraignment / first appearance date, an impossible court date is defined as follows:</w:t>
      </w:r>
    </w:p>
    <w:p w14:paraId="5B05461B" w14:textId="44C6EF05" w:rsidR="00D83F30" w:rsidRDefault="001261CF" w:rsidP="00D83F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bookmarkStart w:id="1" w:name="_Hlk516745665"/>
      <w:r w:rsidRPr="00EA7C37">
        <w:rPr>
          <w:sz w:val="24"/>
          <w:szCs w:val="24"/>
        </w:rPr>
        <w:t>Arraignment</w:t>
      </w:r>
      <w:r w:rsidR="008637FF" w:rsidRPr="00EA7C37">
        <w:rPr>
          <w:sz w:val="24"/>
          <w:szCs w:val="24"/>
        </w:rPr>
        <w:t xml:space="preserve"> </w:t>
      </w:r>
      <w:r w:rsidRPr="00EA7C37">
        <w:rPr>
          <w:sz w:val="24"/>
          <w:szCs w:val="24"/>
        </w:rPr>
        <w:t>/</w:t>
      </w:r>
      <w:r w:rsidR="008637FF" w:rsidRPr="00EA7C37">
        <w:rPr>
          <w:sz w:val="24"/>
          <w:szCs w:val="24"/>
        </w:rPr>
        <w:t xml:space="preserve"> </w:t>
      </w:r>
      <w:r w:rsidRPr="00EA7C37">
        <w:rPr>
          <w:sz w:val="24"/>
          <w:szCs w:val="24"/>
        </w:rPr>
        <w:t xml:space="preserve">first appearance </w:t>
      </w:r>
      <w:bookmarkEnd w:id="1"/>
      <w:r w:rsidRPr="00EA7C37">
        <w:rPr>
          <w:sz w:val="24"/>
          <w:szCs w:val="24"/>
        </w:rPr>
        <w:t xml:space="preserve">date is </w:t>
      </w:r>
      <w:bookmarkStart w:id="2" w:name="_Hlk516745832"/>
      <w:r w:rsidRPr="00EA7C37">
        <w:rPr>
          <w:sz w:val="24"/>
          <w:szCs w:val="24"/>
        </w:rPr>
        <w:t xml:space="preserve">non-existent in the current calendar year (e.g. </w:t>
      </w:r>
      <w:r w:rsidR="008637FF" w:rsidRPr="00EA7C37">
        <w:rPr>
          <w:sz w:val="24"/>
          <w:szCs w:val="24"/>
        </w:rPr>
        <w:t>February 2</w:t>
      </w:r>
      <w:r w:rsidRPr="00EA7C37">
        <w:rPr>
          <w:sz w:val="24"/>
          <w:szCs w:val="24"/>
        </w:rPr>
        <w:t>9</w:t>
      </w:r>
      <w:r w:rsidR="008637FF" w:rsidRPr="00EA7C37">
        <w:rPr>
          <w:sz w:val="24"/>
          <w:szCs w:val="24"/>
        </w:rPr>
        <w:t xml:space="preserve">, </w:t>
      </w:r>
      <w:r w:rsidRPr="00EA7C37">
        <w:rPr>
          <w:sz w:val="24"/>
          <w:szCs w:val="24"/>
        </w:rPr>
        <w:t>20xx, in a non-leap year);</w:t>
      </w:r>
      <w:bookmarkEnd w:id="2"/>
    </w:p>
    <w:p w14:paraId="28886412" w14:textId="195B7BCB" w:rsidR="00D83F30" w:rsidRDefault="001261CF" w:rsidP="00D83F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83F30">
        <w:rPr>
          <w:sz w:val="24"/>
          <w:szCs w:val="24"/>
        </w:rPr>
        <w:lastRenderedPageBreak/>
        <w:t>Arraignment</w:t>
      </w:r>
      <w:r w:rsidR="008637FF" w:rsidRPr="00D83F30">
        <w:rPr>
          <w:sz w:val="24"/>
          <w:szCs w:val="24"/>
        </w:rPr>
        <w:t xml:space="preserve"> </w:t>
      </w:r>
      <w:r w:rsidRPr="00D83F30">
        <w:rPr>
          <w:sz w:val="24"/>
          <w:szCs w:val="24"/>
        </w:rPr>
        <w:t>/</w:t>
      </w:r>
      <w:r w:rsidR="008637FF" w:rsidRPr="00D83F30">
        <w:rPr>
          <w:sz w:val="24"/>
          <w:szCs w:val="24"/>
        </w:rPr>
        <w:t xml:space="preserve"> </w:t>
      </w:r>
      <w:r w:rsidRPr="00D83F30">
        <w:rPr>
          <w:sz w:val="24"/>
          <w:szCs w:val="24"/>
        </w:rPr>
        <w:t>first appearance date is fictitious and does not exist in any year (e.g. April 32, 20xx);</w:t>
      </w:r>
    </w:p>
    <w:p w14:paraId="3D0D63BA" w14:textId="77777777" w:rsidR="00D83F30" w:rsidRDefault="001261CF" w:rsidP="00D83F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83F30">
        <w:rPr>
          <w:sz w:val="24"/>
          <w:szCs w:val="24"/>
        </w:rPr>
        <w:t>Arraignment</w:t>
      </w:r>
      <w:r w:rsidR="008637FF" w:rsidRPr="00D83F30">
        <w:rPr>
          <w:sz w:val="24"/>
          <w:szCs w:val="24"/>
        </w:rPr>
        <w:t xml:space="preserve"> </w:t>
      </w:r>
      <w:r w:rsidRPr="00D83F30">
        <w:rPr>
          <w:sz w:val="24"/>
          <w:szCs w:val="24"/>
        </w:rPr>
        <w:t>/</w:t>
      </w:r>
      <w:r w:rsidR="008637FF" w:rsidRPr="00D83F30">
        <w:rPr>
          <w:sz w:val="24"/>
          <w:szCs w:val="24"/>
        </w:rPr>
        <w:t xml:space="preserve"> </w:t>
      </w:r>
      <w:r w:rsidRPr="00D83F30">
        <w:rPr>
          <w:sz w:val="24"/>
          <w:szCs w:val="24"/>
        </w:rPr>
        <w:t>first appearance date exists in the past (e.g. April 8, 1966);</w:t>
      </w:r>
    </w:p>
    <w:p w14:paraId="3A2E7AF3" w14:textId="77777777" w:rsidR="00D83F30" w:rsidRDefault="001261CF" w:rsidP="00D83F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83F30">
        <w:rPr>
          <w:sz w:val="24"/>
          <w:szCs w:val="24"/>
        </w:rPr>
        <w:t xml:space="preserve">Case filed </w:t>
      </w:r>
      <w:r w:rsidRPr="00D83F30">
        <w:rPr>
          <w:i/>
          <w:sz w:val="24"/>
          <w:szCs w:val="24"/>
        </w:rPr>
        <w:t>after</w:t>
      </w:r>
      <w:r w:rsidRPr="00D83F30">
        <w:rPr>
          <w:sz w:val="24"/>
          <w:szCs w:val="24"/>
        </w:rPr>
        <w:t xml:space="preserve"> </w:t>
      </w:r>
      <w:r w:rsidR="00A159C5" w:rsidRPr="00D83F30">
        <w:rPr>
          <w:sz w:val="24"/>
          <w:szCs w:val="24"/>
        </w:rPr>
        <w:t>an a</w:t>
      </w:r>
      <w:r w:rsidRPr="00D83F30">
        <w:rPr>
          <w:sz w:val="24"/>
          <w:szCs w:val="24"/>
        </w:rPr>
        <w:t>rraignment</w:t>
      </w:r>
      <w:r w:rsidR="00A159C5" w:rsidRPr="00D83F30">
        <w:rPr>
          <w:sz w:val="24"/>
          <w:szCs w:val="24"/>
        </w:rPr>
        <w:t xml:space="preserve"> </w:t>
      </w:r>
      <w:r w:rsidRPr="00D83F30">
        <w:rPr>
          <w:sz w:val="24"/>
          <w:szCs w:val="24"/>
        </w:rPr>
        <w:t>/</w:t>
      </w:r>
      <w:r w:rsidR="00A159C5" w:rsidRPr="00D83F30">
        <w:rPr>
          <w:sz w:val="24"/>
          <w:szCs w:val="24"/>
        </w:rPr>
        <w:t xml:space="preserve"> </w:t>
      </w:r>
      <w:r w:rsidRPr="00D83F30">
        <w:rPr>
          <w:sz w:val="24"/>
          <w:szCs w:val="24"/>
        </w:rPr>
        <w:t>first appearance date has passed;</w:t>
      </w:r>
    </w:p>
    <w:p w14:paraId="251881E8" w14:textId="77777777" w:rsidR="00D83F30" w:rsidRDefault="001261CF" w:rsidP="00D83F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83F30">
        <w:rPr>
          <w:sz w:val="24"/>
          <w:szCs w:val="24"/>
        </w:rPr>
        <w:t>Arraignment</w:t>
      </w:r>
      <w:r w:rsidR="008637FF" w:rsidRPr="00D83F30">
        <w:rPr>
          <w:sz w:val="24"/>
          <w:szCs w:val="24"/>
        </w:rPr>
        <w:t xml:space="preserve"> </w:t>
      </w:r>
      <w:r w:rsidRPr="00D83F30">
        <w:rPr>
          <w:sz w:val="24"/>
          <w:szCs w:val="24"/>
        </w:rPr>
        <w:t>/</w:t>
      </w:r>
      <w:r w:rsidR="008637FF" w:rsidRPr="00D83F30">
        <w:rPr>
          <w:sz w:val="24"/>
          <w:szCs w:val="24"/>
        </w:rPr>
        <w:t xml:space="preserve"> </w:t>
      </w:r>
      <w:r w:rsidRPr="00D83F30">
        <w:rPr>
          <w:sz w:val="24"/>
          <w:szCs w:val="24"/>
        </w:rPr>
        <w:t>first appearance date is blank;</w:t>
      </w:r>
    </w:p>
    <w:p w14:paraId="0F24630A" w14:textId="46BB938E" w:rsidR="001261CF" w:rsidRPr="00D83F30" w:rsidRDefault="001261CF" w:rsidP="00D83F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83F30">
        <w:rPr>
          <w:sz w:val="24"/>
          <w:szCs w:val="24"/>
        </w:rPr>
        <w:t>Arraignment</w:t>
      </w:r>
      <w:r w:rsidR="008637FF" w:rsidRPr="00D83F30">
        <w:rPr>
          <w:sz w:val="24"/>
          <w:szCs w:val="24"/>
        </w:rPr>
        <w:t xml:space="preserve"> </w:t>
      </w:r>
      <w:r w:rsidRPr="00D83F30">
        <w:rPr>
          <w:sz w:val="24"/>
          <w:szCs w:val="24"/>
        </w:rPr>
        <w:t>/</w:t>
      </w:r>
      <w:r w:rsidR="008637FF" w:rsidRPr="00D83F30">
        <w:rPr>
          <w:sz w:val="24"/>
          <w:szCs w:val="24"/>
        </w:rPr>
        <w:t xml:space="preserve"> </w:t>
      </w:r>
      <w:r w:rsidRPr="00D83F30">
        <w:rPr>
          <w:sz w:val="24"/>
          <w:szCs w:val="24"/>
        </w:rPr>
        <w:t>first appearance date is</w:t>
      </w:r>
      <w:r w:rsidR="00A159C5" w:rsidRPr="00D83F30">
        <w:rPr>
          <w:sz w:val="24"/>
          <w:szCs w:val="24"/>
        </w:rPr>
        <w:t xml:space="preserve"> the same as the violation date.</w:t>
      </w:r>
    </w:p>
    <w:p w14:paraId="7F332930" w14:textId="77777777" w:rsidR="00A159C5" w:rsidRDefault="00A159C5" w:rsidP="009045FF">
      <w:pPr>
        <w:pStyle w:val="ListParagraph"/>
        <w:ind w:left="1440"/>
        <w:jc w:val="both"/>
        <w:rPr>
          <w:sz w:val="24"/>
          <w:szCs w:val="24"/>
        </w:rPr>
      </w:pPr>
    </w:p>
    <w:p w14:paraId="478672EA" w14:textId="063ADD10" w:rsidR="008637FF" w:rsidRDefault="008637FF" w:rsidP="009045FF">
      <w:pPr>
        <w:jc w:val="both"/>
        <w:rPr>
          <w:sz w:val="24"/>
          <w:szCs w:val="24"/>
        </w:rPr>
      </w:pPr>
    </w:p>
    <w:p w14:paraId="1B3F63F0" w14:textId="626DCF1C" w:rsidR="00E1467E" w:rsidRPr="0057608E" w:rsidRDefault="0057608E" w:rsidP="009045F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II</w:t>
      </w:r>
      <w:r w:rsidR="00A159C5">
        <w:rPr>
          <w:b/>
          <w:sz w:val="24"/>
          <w:szCs w:val="24"/>
          <w:u w:val="single"/>
        </w:rPr>
        <w:t>I – Exclusions:</w:t>
      </w:r>
    </w:p>
    <w:p w14:paraId="2F0A0827" w14:textId="3E5D14FC" w:rsidR="00F20AB2" w:rsidRDefault="001E60FC" w:rsidP="00904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Dates which are </w:t>
      </w:r>
      <w:r w:rsidRPr="001E60FC">
        <w:rPr>
          <w:b/>
          <w:i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consid</w:t>
      </w:r>
      <w:r w:rsidR="001147E4">
        <w:rPr>
          <w:sz w:val="24"/>
          <w:szCs w:val="24"/>
        </w:rPr>
        <w:t>ered impossible court dates and</w:t>
      </w:r>
      <w:r w:rsidR="00112AFC">
        <w:rPr>
          <w:sz w:val="24"/>
          <w:szCs w:val="24"/>
        </w:rPr>
        <w:t xml:space="preserve"> </w:t>
      </w:r>
      <w:r>
        <w:rPr>
          <w:sz w:val="24"/>
          <w:szCs w:val="24"/>
        </w:rPr>
        <w:t>must still be entered and set before the Court in the usual manner include the following:</w:t>
      </w:r>
    </w:p>
    <w:p w14:paraId="377D3CBF" w14:textId="77777777" w:rsidR="001E60FC" w:rsidRDefault="001E60FC" w:rsidP="009045FF">
      <w:pPr>
        <w:jc w:val="both"/>
        <w:rPr>
          <w:sz w:val="24"/>
          <w:szCs w:val="24"/>
        </w:rPr>
      </w:pPr>
    </w:p>
    <w:p w14:paraId="13598D5C" w14:textId="0868525F" w:rsidR="001E60FC" w:rsidRDefault="001E60FC" w:rsidP="009045F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Arraignment / first appearance date is on a Saturday, Sunday, Legal/Court Holiday.  These cases must be set on the next business day pursuant to </w:t>
      </w:r>
      <w:r w:rsidR="00345A40">
        <w:rPr>
          <w:sz w:val="24"/>
          <w:szCs w:val="24"/>
        </w:rPr>
        <w:t>rule/</w:t>
      </w:r>
      <w:r>
        <w:rPr>
          <w:sz w:val="24"/>
          <w:szCs w:val="24"/>
        </w:rPr>
        <w:t>statute</w:t>
      </w:r>
      <w:r w:rsidR="00345A40">
        <w:rPr>
          <w:sz w:val="24"/>
          <w:szCs w:val="24"/>
        </w:rPr>
        <w:t>/</w:t>
      </w:r>
      <w:r>
        <w:rPr>
          <w:sz w:val="24"/>
          <w:szCs w:val="24"/>
        </w:rPr>
        <w:t>ordinance;</w:t>
      </w:r>
    </w:p>
    <w:p w14:paraId="3EE63398" w14:textId="77777777" w:rsidR="001E60FC" w:rsidRDefault="001E60FC" w:rsidP="009045F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Violation date is significantly before a valid arraignment date are ripe to appear before the Court (e.g. violations for leaving the scene of an accident [hit and run] where violation date is 1-year before arraignment date);</w:t>
      </w:r>
    </w:p>
    <w:p w14:paraId="2F0A0828" w14:textId="1945FEAB" w:rsidR="00F20AB2" w:rsidRDefault="001E60FC" w:rsidP="009045F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Clerks are specifically prohibited from treating any case as an impossible court date where the arraignment date is less than</w:t>
      </w:r>
      <w:r w:rsidR="00A159C5">
        <w:rPr>
          <w:sz w:val="24"/>
          <w:szCs w:val="24"/>
        </w:rPr>
        <w:t xml:space="preserve"> or greater than</w:t>
      </w:r>
      <w:r>
        <w:rPr>
          <w:sz w:val="24"/>
          <w:szCs w:val="24"/>
        </w:rPr>
        <w:t xml:space="preserve"> </w:t>
      </w:r>
      <w:r w:rsidR="0057608E">
        <w:rPr>
          <w:sz w:val="24"/>
          <w:szCs w:val="24"/>
        </w:rPr>
        <w:t xml:space="preserve">the statutory or ordinance requirements </w:t>
      </w:r>
      <w:r>
        <w:rPr>
          <w:sz w:val="24"/>
          <w:szCs w:val="24"/>
        </w:rPr>
        <w:t>for an arraignment / first appearance date</w:t>
      </w:r>
      <w:r w:rsidR="0057608E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These cases </w:t>
      </w:r>
      <w:r w:rsidR="0057608E">
        <w:rPr>
          <w:sz w:val="24"/>
          <w:szCs w:val="24"/>
        </w:rPr>
        <w:t>remain</w:t>
      </w:r>
      <w:r>
        <w:rPr>
          <w:sz w:val="24"/>
          <w:szCs w:val="24"/>
        </w:rPr>
        <w:t xml:space="preserve"> ripe </w:t>
      </w:r>
      <w:r w:rsidR="0057608E">
        <w:rPr>
          <w:sz w:val="24"/>
          <w:szCs w:val="24"/>
        </w:rPr>
        <w:t>to appear before the Court and are issues to be raised, contested or waived by the prosecution or defense. (e.g. ordinance requires arraignment set no less th</w:t>
      </w:r>
      <w:r w:rsidR="009045FF">
        <w:rPr>
          <w:sz w:val="24"/>
          <w:szCs w:val="24"/>
        </w:rPr>
        <w:t>an 30 and no more than 90 days).</w:t>
      </w:r>
    </w:p>
    <w:p w14:paraId="7E600395" w14:textId="769BCF1C" w:rsidR="0057608E" w:rsidRDefault="0057608E" w:rsidP="0057608E">
      <w:pPr>
        <w:rPr>
          <w:sz w:val="24"/>
          <w:szCs w:val="24"/>
        </w:rPr>
      </w:pPr>
    </w:p>
    <w:p w14:paraId="52656A2B" w14:textId="04F2692F" w:rsidR="0057608E" w:rsidRDefault="0057608E" w:rsidP="0057608E">
      <w:pPr>
        <w:rPr>
          <w:sz w:val="24"/>
          <w:szCs w:val="24"/>
        </w:rPr>
      </w:pPr>
    </w:p>
    <w:p w14:paraId="62B9D17E" w14:textId="7CFAA9A2" w:rsidR="0057608E" w:rsidRDefault="0057608E" w:rsidP="0057608E">
      <w:pPr>
        <w:rPr>
          <w:sz w:val="24"/>
          <w:szCs w:val="24"/>
        </w:rPr>
      </w:pPr>
    </w:p>
    <w:p w14:paraId="374AA037" w14:textId="6453D540" w:rsidR="0057608E" w:rsidRDefault="0057608E" w:rsidP="0057608E">
      <w:pPr>
        <w:rPr>
          <w:sz w:val="24"/>
          <w:szCs w:val="24"/>
        </w:rPr>
      </w:pPr>
    </w:p>
    <w:p w14:paraId="7F28F2AE" w14:textId="4677C77A" w:rsidR="0057608E" w:rsidRPr="0057608E" w:rsidRDefault="0057608E" w:rsidP="0057608E">
      <w:pPr>
        <w:jc w:val="center"/>
        <w:rPr>
          <w:b/>
          <w:sz w:val="24"/>
          <w:szCs w:val="24"/>
        </w:rPr>
      </w:pPr>
      <w:r w:rsidRPr="0057608E">
        <w:rPr>
          <w:b/>
          <w:sz w:val="24"/>
          <w:szCs w:val="24"/>
        </w:rPr>
        <w:t># # #</w:t>
      </w:r>
    </w:p>
    <w:p w14:paraId="2F0A082D" w14:textId="77777777" w:rsidR="00F20AB2" w:rsidRDefault="00F20AB2" w:rsidP="00447AD1">
      <w:pPr>
        <w:rPr>
          <w:sz w:val="24"/>
          <w:szCs w:val="24"/>
        </w:rPr>
      </w:pPr>
    </w:p>
    <w:p w14:paraId="2F0A0833" w14:textId="77777777" w:rsidR="00F20AB2" w:rsidRDefault="00F20AB2" w:rsidP="00447AD1">
      <w:pPr>
        <w:rPr>
          <w:sz w:val="24"/>
          <w:szCs w:val="24"/>
        </w:rPr>
      </w:pPr>
    </w:p>
    <w:p w14:paraId="2F0A0834" w14:textId="77777777" w:rsidR="00C01F63" w:rsidRDefault="00F20AB2" w:rsidP="00447AD1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A083D" wp14:editId="2F0A083E">
                <wp:simplePos x="0" y="0"/>
                <wp:positionH relativeFrom="column">
                  <wp:posOffset>847725</wp:posOffset>
                </wp:positionH>
                <wp:positionV relativeFrom="paragraph">
                  <wp:posOffset>77470</wp:posOffset>
                </wp:positionV>
                <wp:extent cx="1884680" cy="16021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A084F" w14:textId="77777777" w:rsidR="001E60FC" w:rsidRPr="008B2666" w:rsidRDefault="001E60FC" w:rsidP="008B26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A0850" wp14:editId="2F0A0851">
                                  <wp:extent cx="1701800" cy="1511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A08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75pt;margin-top:6.1pt;width:148.4pt;height:126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" stroked="f">
                <v:textbox style="mso-fit-shape-to-text:t">
                  <w:txbxContent>
                    <w:p w14:paraId="2F0A084F" w14:textId="77777777" w:rsidR="001E60FC" w:rsidRPr="008B2666" w:rsidRDefault="001E60FC" w:rsidP="008B2666">
                      <w:r>
                        <w:rPr>
                          <w:noProof/>
                        </w:rPr>
                        <w:drawing>
                          <wp:inline distT="0" distB="0" distL="0" distR="0" wp14:anchorId="2F0A0850" wp14:editId="2F0A0851">
                            <wp:extent cx="1701800" cy="1511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0A0835" w14:textId="51580882" w:rsidR="00447AD1" w:rsidRDefault="00447AD1" w:rsidP="00447AD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BY THE COURT:</w:t>
      </w:r>
    </w:p>
    <w:p w14:paraId="2F0A0836" w14:textId="0F6F9619" w:rsidR="00447AD1" w:rsidRDefault="008637FF" w:rsidP="00447AD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E01B7" wp14:editId="1EB31649">
                <wp:simplePos x="0" y="0"/>
                <wp:positionH relativeFrom="column">
                  <wp:posOffset>3162300</wp:posOffset>
                </wp:positionH>
                <wp:positionV relativeFrom="paragraph">
                  <wp:posOffset>88265</wp:posOffset>
                </wp:positionV>
                <wp:extent cx="255905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364D5" w14:textId="638DA29A" w:rsidR="001E60FC" w:rsidRDefault="005760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3CF5A" wp14:editId="66568EA1">
                                  <wp:extent cx="2204085" cy="518795"/>
                                  <wp:effectExtent l="0" t="0" r="571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4085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E01B7" id="Text Box 2" o:spid="_x0000_s1027" type="#_x0000_t202" style="position:absolute;margin-left:249pt;margin-top:6.95pt;width:201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" fillcolor="white [3201]" stroked="f" strokeweight=".5pt">
                <v:textbox>
                  <w:txbxContent>
                    <w:p w14:paraId="099364D5" w14:textId="638DA29A" w:rsidR="001E60FC" w:rsidRDefault="0057608E">
                      <w:r>
                        <w:rPr>
                          <w:noProof/>
                        </w:rPr>
                        <w:drawing>
                          <wp:inline distT="0" distB="0" distL="0" distR="0" wp14:anchorId="4BA3CF5A" wp14:editId="66568EA1">
                            <wp:extent cx="2204085" cy="518795"/>
                            <wp:effectExtent l="0" t="0" r="571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4085" cy="518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0A0837" w14:textId="77777777" w:rsidR="00447AD1" w:rsidRDefault="00447AD1" w:rsidP="00447AD1">
      <w:pPr>
        <w:rPr>
          <w:b/>
          <w:sz w:val="24"/>
          <w:szCs w:val="24"/>
        </w:rPr>
      </w:pPr>
    </w:p>
    <w:p w14:paraId="2F0A0838" w14:textId="2C1C3633" w:rsidR="00447AD1" w:rsidRDefault="00447AD1" w:rsidP="00447A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37FF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___________________________</w:t>
      </w:r>
    </w:p>
    <w:p w14:paraId="2F0A0839" w14:textId="42B76F3F" w:rsidR="00447AD1" w:rsidRDefault="00447AD1" w:rsidP="00447A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Hon. </w:t>
      </w:r>
      <w:r w:rsidR="00474E61">
        <w:rPr>
          <w:b/>
          <w:sz w:val="24"/>
          <w:szCs w:val="24"/>
        </w:rPr>
        <w:t>Theresa A. Spahn</w:t>
      </w:r>
    </w:p>
    <w:p w14:paraId="2F0A083B" w14:textId="1233957D" w:rsidR="00C01F63" w:rsidRPr="00447AD1" w:rsidRDefault="00C01F63" w:rsidP="00447AD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Presiding Judge</w:t>
      </w:r>
      <w:r w:rsidR="008637F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Denver County Court</w:t>
      </w:r>
    </w:p>
    <w:sectPr w:rsidR="00C01F63" w:rsidRPr="00447AD1" w:rsidSect="00DB1A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A0841" w14:textId="77777777" w:rsidR="001E60FC" w:rsidRDefault="001E60FC">
      <w:r>
        <w:separator/>
      </w:r>
    </w:p>
  </w:endnote>
  <w:endnote w:type="continuationSeparator" w:id="0">
    <w:p w14:paraId="2F0A0842" w14:textId="77777777" w:rsidR="001E60FC" w:rsidRDefault="001E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dian Csv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2594" w14:textId="77777777" w:rsidR="00F61294" w:rsidRDefault="00F61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4583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699E5E8" w14:textId="33654012" w:rsidR="001E60FC" w:rsidRDefault="001E60FC" w:rsidP="001E60FC">
            <w:pPr>
              <w:pStyle w:val="Footer"/>
              <w:jc w:val="center"/>
            </w:pPr>
          </w:p>
          <w:p w14:paraId="4E57BA8B" w14:textId="01CD24AE" w:rsidR="001E60FC" w:rsidRDefault="001E60FC" w:rsidP="001E60FC">
            <w:pPr>
              <w:pStyle w:val="Footer"/>
              <w:jc w:val="center"/>
            </w:pPr>
          </w:p>
          <w:p w14:paraId="3604D1EC" w14:textId="77777777" w:rsidR="001E60FC" w:rsidRDefault="001E60FC" w:rsidP="001E60FC">
            <w:pPr>
              <w:pStyle w:val="Footer"/>
              <w:jc w:val="center"/>
            </w:pPr>
          </w:p>
          <w:p w14:paraId="0220E8EC" w14:textId="282F0799" w:rsidR="001E60FC" w:rsidRDefault="001E60FC" w:rsidP="001E60FC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6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6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ED39E35" w14:textId="76CD6646" w:rsidR="001E60FC" w:rsidRPr="001E60FC" w:rsidRDefault="00844643" w:rsidP="001E60FC">
            <w:pPr>
              <w:pStyle w:val="Footer"/>
              <w:jc w:val="center"/>
              <w:rPr>
                <w:b/>
                <w:bCs/>
                <w:sz w:val="18"/>
                <w:szCs w:val="18"/>
              </w:rPr>
            </w:pPr>
            <w:hyperlink r:id="rId1" w:history="1">
              <w:r w:rsidR="001E60FC" w:rsidRPr="001E60FC">
                <w:rPr>
                  <w:rStyle w:val="Hyperlink"/>
                  <w:sz w:val="18"/>
                  <w:szCs w:val="18"/>
                </w:rPr>
                <w:t>www.DenverCountyCourt.org</w:t>
              </w:r>
            </w:hyperlink>
          </w:p>
          <w:p w14:paraId="2FA1EED2" w14:textId="5079E1AE" w:rsidR="001E60FC" w:rsidRDefault="00844643" w:rsidP="001E60FC">
            <w:pPr>
              <w:pStyle w:val="Footer"/>
              <w:jc w:val="center"/>
            </w:pPr>
          </w:p>
        </w:sdtContent>
      </w:sdt>
    </w:sdtContent>
  </w:sdt>
  <w:p w14:paraId="2F0A0848" w14:textId="77777777" w:rsidR="001E60FC" w:rsidRDefault="001E60FC" w:rsidP="008B4059">
    <w:pPr>
      <w:pStyle w:val="Footer"/>
      <w:jc w:val="center"/>
      <w:rPr>
        <w:b/>
        <w:i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EEAE" w14:textId="77777777" w:rsidR="00F61294" w:rsidRDefault="00F61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A083F" w14:textId="77777777" w:rsidR="001E60FC" w:rsidRDefault="001E60FC">
      <w:r>
        <w:separator/>
      </w:r>
    </w:p>
  </w:footnote>
  <w:footnote w:type="continuationSeparator" w:id="0">
    <w:p w14:paraId="2F0A0840" w14:textId="77777777" w:rsidR="001E60FC" w:rsidRDefault="001E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6897" w14:textId="350AA83F" w:rsidR="0057608E" w:rsidRDefault="00844643">
    <w:pPr>
      <w:pStyle w:val="Header"/>
    </w:pPr>
    <w:r>
      <w:rPr>
        <w:noProof/>
      </w:rPr>
      <w:pict w14:anchorId="769E61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4" type="#_x0000_t136" style="position:absolute;margin-left:0;margin-top:0;width:329.9pt;height:329.9pt;rotation:315;z-index:-251658752;mso-position-horizontal:center;mso-position-horizontal-relative:margin;mso-position-vertical:center;mso-position-vertical-relative:margin" o:allowincell="f" fillcolor="#00b050" stroked="f">
          <v:fill opacity=".5"/>
          <v:textpath style="font-family:&quot;Kunstler Scrip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ECA0" w14:textId="7160BCDB" w:rsidR="0057608E" w:rsidRDefault="00576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2980" w14:textId="77777777" w:rsidR="00F61294" w:rsidRDefault="00F61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07"/>
    <w:multiLevelType w:val="hybridMultilevel"/>
    <w:tmpl w:val="6BA4DAEE"/>
    <w:lvl w:ilvl="0" w:tplc="E3BAE20C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A78F5"/>
    <w:multiLevelType w:val="hybridMultilevel"/>
    <w:tmpl w:val="218C5F76"/>
    <w:lvl w:ilvl="0" w:tplc="76087F0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407B05"/>
    <w:multiLevelType w:val="hybridMultilevel"/>
    <w:tmpl w:val="8A0A2C5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21D93"/>
    <w:multiLevelType w:val="hybridMultilevel"/>
    <w:tmpl w:val="587AA5B6"/>
    <w:lvl w:ilvl="0" w:tplc="F0D6DAEE">
      <w:start w:val="818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oNHgLqO+DtQFcrmMChILwZG+D8ieT6ZI2h6D12aYmg4eZHmtmj9VrTg1RRaAOettFdTwhueayyiLgXteJP5GA==" w:salt="lBXyHOYAXZ5XmBiBpDcZqg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D1"/>
    <w:rsid w:val="00012680"/>
    <w:rsid w:val="00023488"/>
    <w:rsid w:val="000371C1"/>
    <w:rsid w:val="00037F00"/>
    <w:rsid w:val="00073023"/>
    <w:rsid w:val="00077E26"/>
    <w:rsid w:val="00097BC0"/>
    <w:rsid w:val="000E695C"/>
    <w:rsid w:val="00112AFC"/>
    <w:rsid w:val="001147E4"/>
    <w:rsid w:val="001261CF"/>
    <w:rsid w:val="00143528"/>
    <w:rsid w:val="00197715"/>
    <w:rsid w:val="001A6DF1"/>
    <w:rsid w:val="001E60FC"/>
    <w:rsid w:val="001E6FED"/>
    <w:rsid w:val="001F398E"/>
    <w:rsid w:val="002645E3"/>
    <w:rsid w:val="00295FAA"/>
    <w:rsid w:val="002E4C22"/>
    <w:rsid w:val="00342E20"/>
    <w:rsid w:val="00345A40"/>
    <w:rsid w:val="0036051D"/>
    <w:rsid w:val="00364A36"/>
    <w:rsid w:val="00400494"/>
    <w:rsid w:val="00447AD1"/>
    <w:rsid w:val="00450411"/>
    <w:rsid w:val="00471DD8"/>
    <w:rsid w:val="00474E61"/>
    <w:rsid w:val="00475953"/>
    <w:rsid w:val="00480E09"/>
    <w:rsid w:val="004E2F63"/>
    <w:rsid w:val="0057608E"/>
    <w:rsid w:val="005B2FA5"/>
    <w:rsid w:val="005B77E3"/>
    <w:rsid w:val="00634022"/>
    <w:rsid w:val="00652CA5"/>
    <w:rsid w:val="00691385"/>
    <w:rsid w:val="00730F86"/>
    <w:rsid w:val="00737817"/>
    <w:rsid w:val="00764AEA"/>
    <w:rsid w:val="008130E6"/>
    <w:rsid w:val="008245EA"/>
    <w:rsid w:val="00844643"/>
    <w:rsid w:val="008637FF"/>
    <w:rsid w:val="008B2666"/>
    <w:rsid w:val="008B4059"/>
    <w:rsid w:val="008E6985"/>
    <w:rsid w:val="009024A0"/>
    <w:rsid w:val="009045FF"/>
    <w:rsid w:val="0097098E"/>
    <w:rsid w:val="009734F3"/>
    <w:rsid w:val="009D1DC1"/>
    <w:rsid w:val="009D2004"/>
    <w:rsid w:val="009F2855"/>
    <w:rsid w:val="00A159C5"/>
    <w:rsid w:val="00A27EEC"/>
    <w:rsid w:val="00A438D8"/>
    <w:rsid w:val="00A97E8E"/>
    <w:rsid w:val="00AA3A76"/>
    <w:rsid w:val="00AC3B18"/>
    <w:rsid w:val="00B0111E"/>
    <w:rsid w:val="00B057DD"/>
    <w:rsid w:val="00B53062"/>
    <w:rsid w:val="00B64098"/>
    <w:rsid w:val="00B805C4"/>
    <w:rsid w:val="00BB6EC9"/>
    <w:rsid w:val="00BF1E8D"/>
    <w:rsid w:val="00C01F63"/>
    <w:rsid w:val="00C168C4"/>
    <w:rsid w:val="00CF3FF7"/>
    <w:rsid w:val="00D8155C"/>
    <w:rsid w:val="00D83F30"/>
    <w:rsid w:val="00DB1A76"/>
    <w:rsid w:val="00DF4674"/>
    <w:rsid w:val="00E073A4"/>
    <w:rsid w:val="00E1467E"/>
    <w:rsid w:val="00EA7C37"/>
    <w:rsid w:val="00EE506B"/>
    <w:rsid w:val="00EF0698"/>
    <w:rsid w:val="00F20AB2"/>
    <w:rsid w:val="00F61294"/>
    <w:rsid w:val="00F82068"/>
    <w:rsid w:val="00F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  <w14:docId w14:val="2F0A0814"/>
  <w15:docId w15:val="{3E9D8B71-75B6-4414-9898-D70C1087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A76"/>
  </w:style>
  <w:style w:type="paragraph" w:styleId="Heading1">
    <w:name w:val="heading 1"/>
    <w:basedOn w:val="Normal"/>
    <w:next w:val="Normal"/>
    <w:qFormat/>
    <w:rsid w:val="00DB1A7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B1A76"/>
    <w:pPr>
      <w:jc w:val="center"/>
    </w:pPr>
    <w:rPr>
      <w:b/>
      <w:i/>
      <w:sz w:val="72"/>
    </w:rPr>
  </w:style>
  <w:style w:type="paragraph" w:styleId="Header">
    <w:name w:val="header"/>
    <w:basedOn w:val="Normal"/>
    <w:rsid w:val="008B4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40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B40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EB3"/>
    <w:pPr>
      <w:ind w:left="720"/>
    </w:pPr>
  </w:style>
  <w:style w:type="paragraph" w:styleId="BalloonText">
    <w:name w:val="Balloon Text"/>
    <w:basedOn w:val="Normal"/>
    <w:link w:val="BalloonTextChar"/>
    <w:rsid w:val="00A27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7EE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74E61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1E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verCountyCou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2738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Robin's Letterhead Template</vt:lpstr>
    </vt:vector>
  </TitlesOfParts>
  <Company>Denver County Court</Company>
  <LinksUpToDate>false</LinksUpToDate>
  <CharactersWithSpaces>3241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http://www.denvergov.org/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Robin's Letterhead Template</dc:title>
  <dc:subject/>
  <dc:creator>Bill.Heaney</dc:creator>
  <cp:keywords/>
  <cp:lastModifiedBy>Trujillo, Rita - DCC</cp:lastModifiedBy>
  <cp:revision>2</cp:revision>
  <cp:lastPrinted>2018-07-03T19:20:00Z</cp:lastPrinted>
  <dcterms:created xsi:type="dcterms:W3CDTF">2018-07-13T21:17:00Z</dcterms:created>
  <dcterms:modified xsi:type="dcterms:W3CDTF">2018-07-13T21:17:00Z</dcterms:modified>
</cp:coreProperties>
</file>